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36"/>
        <w:gridCol w:w="9324"/>
      </w:tblGrid>
      <w:tr w:rsidR="001C2D93" w:rsidRPr="001C2D93" w14:paraId="4E243EC3" w14:textId="77777777" w:rsidTr="001C2D93">
        <w:trPr>
          <w:tblCellSpacing w:w="0" w:type="dxa"/>
        </w:trPr>
        <w:tc>
          <w:tcPr>
            <w:tcW w:w="3795" w:type="dxa"/>
            <w:vAlign w:val="center"/>
            <w:hideMark/>
          </w:tcPr>
          <w:p w14:paraId="46FC1636" w14:textId="77777777" w:rsidR="001C2D93" w:rsidRPr="001C2D93" w:rsidRDefault="001C2D93" w:rsidP="001C2D93">
            <w:pPr>
              <w:rPr>
                <w:rFonts w:eastAsia="Times New Roman"/>
              </w:rPr>
            </w:pPr>
          </w:p>
        </w:tc>
        <w:tc>
          <w:tcPr>
            <w:tcW w:w="5000" w:type="pct"/>
            <w:vAlign w:val="center"/>
            <w:hideMark/>
          </w:tcPr>
          <w:p w14:paraId="4FECE544" w14:textId="77777777" w:rsidR="001C2D93" w:rsidRPr="001C2D93" w:rsidRDefault="001C2D93" w:rsidP="001C2D93">
            <w:pPr>
              <w:rPr>
                <w:rFonts w:eastAsia="Times New Roman"/>
              </w:rPr>
            </w:pPr>
            <w:r w:rsidRPr="001C2D93">
              <w:rPr>
                <w:rFonts w:eastAsia="Times New Roman"/>
                <w:noProof/>
              </w:rPr>
              <w:drawing>
                <wp:inline distT="0" distB="0" distL="0" distR="0" wp14:anchorId="2DC85AB9" wp14:editId="7A4D359C">
                  <wp:extent cx="5953125" cy="638175"/>
                  <wp:effectExtent l="0" t="0" r="9525" b="9525"/>
                  <wp:docPr id="1" name="Picture 1" descr="https://www.tcrecord.org/library/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crecord.org/library/image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3125" cy="638175"/>
                          </a:xfrm>
                          <a:prstGeom prst="rect">
                            <a:avLst/>
                          </a:prstGeom>
                          <a:noFill/>
                          <a:ln>
                            <a:noFill/>
                          </a:ln>
                        </pic:spPr>
                      </pic:pic>
                    </a:graphicData>
                  </a:graphic>
                </wp:inline>
              </w:drawing>
            </w:r>
            <w:hyperlink r:id="rId5" w:history="1"/>
          </w:p>
        </w:tc>
      </w:tr>
      <w:tr w:rsidR="001C2D93" w:rsidRPr="001C2D93" w14:paraId="55BF9778" w14:textId="77777777" w:rsidTr="001C2D93">
        <w:trPr>
          <w:trHeight w:val="450"/>
          <w:tblCellSpacing w:w="0" w:type="dxa"/>
        </w:trPr>
        <w:tc>
          <w:tcPr>
            <w:tcW w:w="5000" w:type="pct"/>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9"/>
              <w:gridCol w:w="1001"/>
              <w:gridCol w:w="108"/>
              <w:gridCol w:w="1217"/>
              <w:gridCol w:w="108"/>
              <w:gridCol w:w="1028"/>
              <w:gridCol w:w="108"/>
              <w:gridCol w:w="1190"/>
              <w:gridCol w:w="108"/>
              <w:gridCol w:w="1217"/>
              <w:gridCol w:w="108"/>
              <w:gridCol w:w="1569"/>
              <w:gridCol w:w="649"/>
            </w:tblGrid>
            <w:tr w:rsidR="001C2D93" w:rsidRPr="001C2D93" w14:paraId="2EDA3C52" w14:textId="77777777">
              <w:trPr>
                <w:tblCellSpacing w:w="0" w:type="dxa"/>
              </w:trPr>
              <w:tc>
                <w:tcPr>
                  <w:tcW w:w="0" w:type="auto"/>
                  <w:vAlign w:val="center"/>
                  <w:hideMark/>
                </w:tcPr>
                <w:p w14:paraId="5F88AF9B" w14:textId="77777777" w:rsidR="001C2D93" w:rsidRPr="001C2D93" w:rsidRDefault="001C2D93" w:rsidP="001C2D93">
                  <w:pPr>
                    <w:rPr>
                      <w:rFonts w:eastAsia="Times New Roman"/>
                    </w:rPr>
                  </w:pPr>
                  <w:r w:rsidRPr="001C2D93">
                    <w:rPr>
                      <w:rFonts w:eastAsia="Times New Roman"/>
                      <w:noProof/>
                      <w:color w:val="0000FF"/>
                    </w:rPr>
                    <w:drawing>
                      <wp:inline distT="0" distB="0" distL="0" distR="0" wp14:anchorId="7F0E89AB" wp14:editId="6BC469D1">
                        <wp:extent cx="590550" cy="285750"/>
                        <wp:effectExtent l="0" t="0" r="0" b="0"/>
                        <wp:docPr id="3" name="Picture 3" descr="https://www.tcrecord.org/library/images/menu_all_issue.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crecord.org/library/images/menu_all_issue.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p>
              </w:tc>
              <w:tc>
                <w:tcPr>
                  <w:tcW w:w="0" w:type="auto"/>
                  <w:vAlign w:val="center"/>
                  <w:hideMark/>
                </w:tcPr>
                <w:p w14:paraId="19C5B550" w14:textId="77777777" w:rsidR="001C2D93" w:rsidRPr="001C2D93" w:rsidRDefault="001C2D93" w:rsidP="001C2D93">
                  <w:pPr>
                    <w:rPr>
                      <w:rFonts w:eastAsia="Times New Roman"/>
                    </w:rPr>
                  </w:pPr>
                  <w:r w:rsidRPr="001C2D93">
                    <w:rPr>
                      <w:rFonts w:eastAsia="Times New Roman"/>
                      <w:noProof/>
                    </w:rPr>
                    <w:drawing>
                      <wp:inline distT="0" distB="0" distL="0" distR="0" wp14:anchorId="691C6B23" wp14:editId="0247136E">
                        <wp:extent cx="76200" cy="285750"/>
                        <wp:effectExtent l="0" t="0" r="0" b="0"/>
                        <wp:docPr id="4" name="Picture 4" descr="https://www.tcrecord.org/library/images/menu_d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crecord.org/library/images/menu_div.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285750"/>
                                </a:xfrm>
                                <a:prstGeom prst="rect">
                                  <a:avLst/>
                                </a:prstGeom>
                                <a:noFill/>
                                <a:ln>
                                  <a:noFill/>
                                </a:ln>
                              </pic:spPr>
                            </pic:pic>
                          </a:graphicData>
                        </a:graphic>
                      </wp:inline>
                    </w:drawing>
                  </w:r>
                </w:p>
              </w:tc>
              <w:tc>
                <w:tcPr>
                  <w:tcW w:w="0" w:type="auto"/>
                  <w:vAlign w:val="center"/>
                  <w:hideMark/>
                </w:tcPr>
                <w:p w14:paraId="50C97609" w14:textId="77777777" w:rsidR="001C2D93" w:rsidRPr="001C2D93" w:rsidRDefault="001C2D93" w:rsidP="001C2D93">
                  <w:pPr>
                    <w:rPr>
                      <w:rFonts w:eastAsia="Times New Roman"/>
                    </w:rPr>
                  </w:pPr>
                  <w:r w:rsidRPr="001C2D93">
                    <w:rPr>
                      <w:rFonts w:eastAsia="Times New Roman"/>
                      <w:noProof/>
                      <w:color w:val="0000FF"/>
                    </w:rPr>
                    <w:drawing>
                      <wp:inline distT="0" distB="0" distL="0" distR="0" wp14:anchorId="7BC12425" wp14:editId="3B94A0B2">
                        <wp:extent cx="704850" cy="285750"/>
                        <wp:effectExtent l="0" t="0" r="0" b="0"/>
                        <wp:docPr id="5" name="Picture 5" descr="Current Issu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rrent Issu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285750"/>
                                </a:xfrm>
                                <a:prstGeom prst="rect">
                                  <a:avLst/>
                                </a:prstGeom>
                                <a:noFill/>
                                <a:ln>
                                  <a:noFill/>
                                </a:ln>
                              </pic:spPr>
                            </pic:pic>
                          </a:graphicData>
                        </a:graphic>
                      </wp:inline>
                    </w:drawing>
                  </w:r>
                </w:p>
              </w:tc>
              <w:tc>
                <w:tcPr>
                  <w:tcW w:w="0" w:type="auto"/>
                  <w:vAlign w:val="center"/>
                  <w:hideMark/>
                </w:tcPr>
                <w:p w14:paraId="5BC2050B" w14:textId="77777777" w:rsidR="001C2D93" w:rsidRPr="001C2D93" w:rsidRDefault="001C2D93" w:rsidP="001C2D93">
                  <w:pPr>
                    <w:rPr>
                      <w:rFonts w:eastAsia="Times New Roman"/>
                    </w:rPr>
                  </w:pPr>
                  <w:r w:rsidRPr="001C2D93">
                    <w:rPr>
                      <w:rFonts w:eastAsia="Times New Roman"/>
                      <w:noProof/>
                    </w:rPr>
                    <w:drawing>
                      <wp:inline distT="0" distB="0" distL="0" distR="0" wp14:anchorId="4FE5A3CE" wp14:editId="37C9F931">
                        <wp:extent cx="76200" cy="285750"/>
                        <wp:effectExtent l="0" t="0" r="0" b="0"/>
                        <wp:docPr id="6" name="Picture 6" descr="https://www.tcrecord.org/library/images/menu_d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crecord.org/library/images/menu_div.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285750"/>
                                </a:xfrm>
                                <a:prstGeom prst="rect">
                                  <a:avLst/>
                                </a:prstGeom>
                                <a:noFill/>
                                <a:ln>
                                  <a:noFill/>
                                </a:ln>
                              </pic:spPr>
                            </pic:pic>
                          </a:graphicData>
                        </a:graphic>
                      </wp:inline>
                    </w:drawing>
                  </w:r>
                </w:p>
              </w:tc>
              <w:tc>
                <w:tcPr>
                  <w:tcW w:w="0" w:type="auto"/>
                  <w:vAlign w:val="center"/>
                  <w:hideMark/>
                </w:tcPr>
                <w:p w14:paraId="3D4865AA" w14:textId="77777777" w:rsidR="001C2D93" w:rsidRPr="001C2D93" w:rsidRDefault="001C2D93" w:rsidP="001C2D93">
                  <w:pPr>
                    <w:rPr>
                      <w:rFonts w:eastAsia="Times New Roman"/>
                    </w:rPr>
                  </w:pPr>
                  <w:r w:rsidRPr="001C2D93">
                    <w:rPr>
                      <w:rFonts w:eastAsia="Times New Roman"/>
                      <w:noProof/>
                      <w:color w:val="0000FF"/>
                    </w:rPr>
                    <w:drawing>
                      <wp:inline distT="0" distB="0" distL="0" distR="0" wp14:anchorId="5A69A118" wp14:editId="2155FCD3">
                        <wp:extent cx="847725" cy="285750"/>
                        <wp:effectExtent l="0" t="0" r="9525" b="0"/>
                        <wp:docPr id="7" name="Picture 7" descr="Current Issu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rrent Issu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285750"/>
                                </a:xfrm>
                                <a:prstGeom prst="rect">
                                  <a:avLst/>
                                </a:prstGeom>
                                <a:noFill/>
                                <a:ln>
                                  <a:noFill/>
                                </a:ln>
                              </pic:spPr>
                            </pic:pic>
                          </a:graphicData>
                        </a:graphic>
                      </wp:inline>
                    </w:drawing>
                  </w:r>
                </w:p>
              </w:tc>
              <w:tc>
                <w:tcPr>
                  <w:tcW w:w="0" w:type="auto"/>
                  <w:vAlign w:val="center"/>
                  <w:hideMark/>
                </w:tcPr>
                <w:p w14:paraId="1D710F77" w14:textId="77777777" w:rsidR="001C2D93" w:rsidRPr="001C2D93" w:rsidRDefault="001C2D93" w:rsidP="001C2D93">
                  <w:pPr>
                    <w:rPr>
                      <w:rFonts w:eastAsia="Times New Roman"/>
                    </w:rPr>
                  </w:pPr>
                  <w:r w:rsidRPr="001C2D93">
                    <w:rPr>
                      <w:rFonts w:eastAsia="Times New Roman"/>
                      <w:noProof/>
                    </w:rPr>
                    <w:drawing>
                      <wp:inline distT="0" distB="0" distL="0" distR="0" wp14:anchorId="7AD0DBBA" wp14:editId="398A6DCD">
                        <wp:extent cx="76200" cy="285750"/>
                        <wp:effectExtent l="0" t="0" r="0" b="0"/>
                        <wp:docPr id="8" name="Picture 8" descr="https://www.tcrecord.org/library/images/menu_d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crecord.org/library/images/menu_div.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285750"/>
                                </a:xfrm>
                                <a:prstGeom prst="rect">
                                  <a:avLst/>
                                </a:prstGeom>
                                <a:noFill/>
                                <a:ln>
                                  <a:noFill/>
                                </a:ln>
                              </pic:spPr>
                            </pic:pic>
                          </a:graphicData>
                        </a:graphic>
                      </wp:inline>
                    </w:drawing>
                  </w:r>
                </w:p>
              </w:tc>
              <w:tc>
                <w:tcPr>
                  <w:tcW w:w="0" w:type="auto"/>
                  <w:vAlign w:val="center"/>
                  <w:hideMark/>
                </w:tcPr>
                <w:p w14:paraId="156B0081" w14:textId="77777777" w:rsidR="001C2D93" w:rsidRPr="001C2D93" w:rsidRDefault="001C2D93" w:rsidP="001C2D93">
                  <w:pPr>
                    <w:rPr>
                      <w:rFonts w:eastAsia="Times New Roman"/>
                    </w:rPr>
                  </w:pPr>
                  <w:r w:rsidRPr="001C2D93">
                    <w:rPr>
                      <w:rFonts w:eastAsia="Times New Roman"/>
                      <w:noProof/>
                      <w:color w:val="0000FF"/>
                    </w:rPr>
                    <w:drawing>
                      <wp:inline distT="0" distB="0" distL="0" distR="0" wp14:anchorId="0EA31570" wp14:editId="217A1380">
                        <wp:extent cx="723900" cy="285750"/>
                        <wp:effectExtent l="0" t="0" r="0" b="0"/>
                        <wp:docPr id="9" name="Picture 9" descr="Subscription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bscriptions">
                                  <a:hlinkClick r:id="rId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285750"/>
                                </a:xfrm>
                                <a:prstGeom prst="rect">
                                  <a:avLst/>
                                </a:prstGeom>
                                <a:noFill/>
                                <a:ln>
                                  <a:noFill/>
                                </a:ln>
                              </pic:spPr>
                            </pic:pic>
                          </a:graphicData>
                        </a:graphic>
                      </wp:inline>
                    </w:drawing>
                  </w:r>
                </w:p>
              </w:tc>
              <w:tc>
                <w:tcPr>
                  <w:tcW w:w="0" w:type="auto"/>
                  <w:vAlign w:val="center"/>
                  <w:hideMark/>
                </w:tcPr>
                <w:p w14:paraId="44FF1826" w14:textId="77777777" w:rsidR="001C2D93" w:rsidRPr="001C2D93" w:rsidRDefault="001C2D93" w:rsidP="001C2D93">
                  <w:pPr>
                    <w:rPr>
                      <w:rFonts w:eastAsia="Times New Roman"/>
                    </w:rPr>
                  </w:pPr>
                  <w:r w:rsidRPr="001C2D93">
                    <w:rPr>
                      <w:rFonts w:eastAsia="Times New Roman"/>
                      <w:noProof/>
                    </w:rPr>
                    <w:drawing>
                      <wp:inline distT="0" distB="0" distL="0" distR="0" wp14:anchorId="634AD69C" wp14:editId="491818F4">
                        <wp:extent cx="76200" cy="285750"/>
                        <wp:effectExtent l="0" t="0" r="0" b="0"/>
                        <wp:docPr id="10" name="Picture 10" descr="https://www.tcrecord.org/library/images/menu_d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crecord.org/library/images/menu_div.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285750"/>
                                </a:xfrm>
                                <a:prstGeom prst="rect">
                                  <a:avLst/>
                                </a:prstGeom>
                                <a:noFill/>
                                <a:ln>
                                  <a:noFill/>
                                </a:ln>
                              </pic:spPr>
                            </pic:pic>
                          </a:graphicData>
                        </a:graphic>
                      </wp:inline>
                    </w:drawing>
                  </w:r>
                </w:p>
              </w:tc>
              <w:tc>
                <w:tcPr>
                  <w:tcW w:w="0" w:type="auto"/>
                  <w:vAlign w:val="center"/>
                  <w:hideMark/>
                </w:tcPr>
                <w:p w14:paraId="094E47FE" w14:textId="77777777" w:rsidR="001C2D93" w:rsidRPr="001C2D93" w:rsidRDefault="001C2D93" w:rsidP="001C2D93">
                  <w:pPr>
                    <w:rPr>
                      <w:rFonts w:eastAsia="Times New Roman"/>
                    </w:rPr>
                  </w:pPr>
                  <w:r w:rsidRPr="001C2D93">
                    <w:rPr>
                      <w:rFonts w:eastAsia="Times New Roman"/>
                      <w:noProof/>
                      <w:color w:val="0000FF"/>
                    </w:rPr>
                    <w:drawing>
                      <wp:inline distT="0" distB="0" distL="0" distR="0" wp14:anchorId="3C823344" wp14:editId="69F57D62">
                        <wp:extent cx="828675" cy="285750"/>
                        <wp:effectExtent l="0" t="0" r="9525" b="0"/>
                        <wp:docPr id="11" name="Picture 11" descr="About TCRecor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out TCRecor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p>
              </w:tc>
              <w:tc>
                <w:tcPr>
                  <w:tcW w:w="0" w:type="auto"/>
                  <w:vAlign w:val="center"/>
                  <w:hideMark/>
                </w:tcPr>
                <w:p w14:paraId="1B2C9B1D" w14:textId="77777777" w:rsidR="001C2D93" w:rsidRPr="001C2D93" w:rsidRDefault="001C2D93" w:rsidP="001C2D93">
                  <w:pPr>
                    <w:rPr>
                      <w:rFonts w:eastAsia="Times New Roman"/>
                    </w:rPr>
                  </w:pPr>
                  <w:r w:rsidRPr="001C2D93">
                    <w:rPr>
                      <w:rFonts w:eastAsia="Times New Roman"/>
                      <w:noProof/>
                    </w:rPr>
                    <w:drawing>
                      <wp:inline distT="0" distB="0" distL="0" distR="0" wp14:anchorId="09D815F6" wp14:editId="41CF2D6C">
                        <wp:extent cx="76200" cy="285750"/>
                        <wp:effectExtent l="0" t="0" r="0" b="0"/>
                        <wp:docPr id="12" name="Picture 12" descr="https://www.tcrecord.org/library/images/menu_d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crecord.org/library/images/menu_div.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285750"/>
                                </a:xfrm>
                                <a:prstGeom prst="rect">
                                  <a:avLst/>
                                </a:prstGeom>
                                <a:noFill/>
                                <a:ln>
                                  <a:noFill/>
                                </a:ln>
                              </pic:spPr>
                            </pic:pic>
                          </a:graphicData>
                        </a:graphic>
                      </wp:inline>
                    </w:drawing>
                  </w:r>
                </w:p>
              </w:tc>
              <w:tc>
                <w:tcPr>
                  <w:tcW w:w="0" w:type="auto"/>
                  <w:vAlign w:val="center"/>
                  <w:hideMark/>
                </w:tcPr>
                <w:p w14:paraId="19477816" w14:textId="77777777" w:rsidR="001C2D93" w:rsidRPr="001C2D93" w:rsidRDefault="001C2D93" w:rsidP="001C2D93">
                  <w:pPr>
                    <w:rPr>
                      <w:rFonts w:eastAsia="Times New Roman"/>
                    </w:rPr>
                  </w:pPr>
                  <w:r w:rsidRPr="001C2D93">
                    <w:rPr>
                      <w:rFonts w:eastAsia="Times New Roman"/>
                      <w:noProof/>
                      <w:color w:val="0000FF"/>
                    </w:rPr>
                    <w:drawing>
                      <wp:inline distT="0" distB="0" distL="0" distR="0" wp14:anchorId="440E64C5" wp14:editId="773CBFEA">
                        <wp:extent cx="847725" cy="285750"/>
                        <wp:effectExtent l="0" t="0" r="9525" b="0"/>
                        <wp:docPr id="13" name="Picture 13" descr="Advanced Search">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vanced Search">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725" cy="285750"/>
                                </a:xfrm>
                                <a:prstGeom prst="rect">
                                  <a:avLst/>
                                </a:prstGeom>
                                <a:noFill/>
                                <a:ln>
                                  <a:noFill/>
                                </a:ln>
                              </pic:spPr>
                            </pic:pic>
                          </a:graphicData>
                        </a:graphic>
                      </wp:inline>
                    </w:drawing>
                  </w:r>
                </w:p>
              </w:tc>
              <w:tc>
                <w:tcPr>
                  <w:tcW w:w="0" w:type="auto"/>
                  <w:vAlign w:val="center"/>
                  <w:hideMark/>
                </w:tcPr>
                <w:p w14:paraId="65D6A195" w14:textId="77777777" w:rsidR="001C2D93" w:rsidRPr="001C2D93" w:rsidRDefault="001C2D93" w:rsidP="001C2D93">
                  <w:pPr>
                    <w:rPr>
                      <w:rFonts w:eastAsia="Times New Roman"/>
                    </w:rPr>
                  </w:pPr>
                  <w:r w:rsidRPr="001C2D93">
                    <w:rPr>
                      <w:rFonts w:eastAsia="Times New Roman"/>
                    </w:rPr>
                    <w:t>  </w:t>
                  </w:r>
                </w:p>
              </w:tc>
              <w:tc>
                <w:tcPr>
                  <w:tcW w:w="0" w:type="auto"/>
                  <w:vAlign w:val="center"/>
                  <w:hideMark/>
                </w:tcPr>
                <w:p w14:paraId="7601B6CE" w14:textId="77777777" w:rsidR="001C2D93" w:rsidRPr="001C2D93" w:rsidRDefault="009D29A9" w:rsidP="001C2D93">
                  <w:pPr>
                    <w:rPr>
                      <w:rFonts w:eastAsia="Times New Roman"/>
                    </w:rPr>
                  </w:pPr>
                  <w:r>
                    <w:rPr>
                      <w:rFonts w:eastAsia="Times New Roman"/>
                    </w:rPr>
                    <w:pict w14:anchorId="709B78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8pt">
                        <v:imagedata r:id="rId18" o:title=""/>
                      </v:shape>
                    </w:pict>
                  </w:r>
                </w:p>
              </w:tc>
              <w:tc>
                <w:tcPr>
                  <w:tcW w:w="0" w:type="auto"/>
                  <w:vAlign w:val="center"/>
                  <w:hideMark/>
                </w:tcPr>
                <w:p w14:paraId="3ACEE955" w14:textId="77777777" w:rsidR="001C2D93" w:rsidRPr="001C2D93" w:rsidRDefault="009D29A9" w:rsidP="001C2D93">
                  <w:pPr>
                    <w:rPr>
                      <w:rFonts w:eastAsia="Times New Roman"/>
                    </w:rPr>
                  </w:pPr>
                  <w:r>
                    <w:rPr>
                      <w:rFonts w:eastAsia="Times New Roman"/>
                    </w:rPr>
                    <w:pict w14:anchorId="17784559">
                      <v:shape id="_x0000_i1026" type="#_x0000_t75" style="width:36pt;height:15.75pt">
                        <v:imagedata r:id="rId19" o:title=""/>
                      </v:shape>
                    </w:pict>
                  </w:r>
                </w:p>
              </w:tc>
            </w:tr>
          </w:tbl>
          <w:p w14:paraId="0548D27C" w14:textId="77777777" w:rsidR="001C2D93" w:rsidRPr="001C2D93" w:rsidRDefault="001C2D93" w:rsidP="001C2D93">
            <w:pPr>
              <w:rPr>
                <w:rFonts w:eastAsia="Times New Roman"/>
              </w:rPr>
            </w:pPr>
          </w:p>
        </w:tc>
      </w:tr>
      <w:tr w:rsidR="001C2D93" w:rsidRPr="001C2D93" w14:paraId="0F352904" w14:textId="77777777" w:rsidTr="001C2D93">
        <w:trPr>
          <w:tblCellSpacing w:w="0" w:type="dxa"/>
        </w:trPr>
        <w:tc>
          <w:tcPr>
            <w:tcW w:w="5000" w:type="pct"/>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150"/>
              <w:gridCol w:w="9210"/>
            </w:tblGrid>
            <w:tr w:rsidR="001C2D93" w:rsidRPr="001C2D93" w14:paraId="768CD2DE" w14:textId="77777777">
              <w:trPr>
                <w:gridAfter w:val="1"/>
                <w:tblCellSpacing w:w="0" w:type="dxa"/>
              </w:trPr>
              <w:tc>
                <w:tcPr>
                  <w:tcW w:w="0" w:type="auto"/>
                  <w:vAlign w:val="center"/>
                  <w:hideMark/>
                </w:tcPr>
                <w:p w14:paraId="3222A7D1" w14:textId="77777777" w:rsidR="001C2D93" w:rsidRPr="001C2D93" w:rsidRDefault="001C2D93" w:rsidP="001C2D93">
                  <w:pPr>
                    <w:rPr>
                      <w:rFonts w:eastAsia="Times New Roman"/>
                    </w:rPr>
                  </w:pPr>
                </w:p>
              </w:tc>
            </w:tr>
            <w:tr w:rsidR="001C2D93" w:rsidRPr="001C2D93" w14:paraId="762802DA" w14:textId="77777777">
              <w:trPr>
                <w:tblCellSpacing w:w="0" w:type="dxa"/>
              </w:trPr>
              <w:tc>
                <w:tcPr>
                  <w:tcW w:w="150" w:type="dxa"/>
                  <w:vAlign w:val="center"/>
                  <w:hideMark/>
                </w:tcPr>
                <w:p w14:paraId="1382759A" w14:textId="77777777" w:rsidR="001C2D93" w:rsidRPr="001C2D93" w:rsidRDefault="001C2D93" w:rsidP="001C2D93">
                  <w:pPr>
                    <w:rPr>
                      <w:rFonts w:eastAsia="Times New Roman"/>
                    </w:rPr>
                  </w:pPr>
                  <w:r w:rsidRPr="001C2D93">
                    <w:rPr>
                      <w:rFonts w:eastAsia="Times New Roman"/>
                    </w:rPr>
                    <w:t> </w:t>
                  </w:r>
                </w:p>
              </w:tc>
              <w:tc>
                <w:tcPr>
                  <w:tcW w:w="0" w:type="auto"/>
                  <w:hideMark/>
                </w:tcPr>
                <w:tbl>
                  <w:tblPr>
                    <w:tblW w:w="4900" w:type="pct"/>
                    <w:tblCellSpacing w:w="37" w:type="dxa"/>
                    <w:tblCellMar>
                      <w:top w:w="75" w:type="dxa"/>
                      <w:left w:w="75" w:type="dxa"/>
                      <w:bottom w:w="75" w:type="dxa"/>
                      <w:right w:w="75" w:type="dxa"/>
                    </w:tblCellMar>
                    <w:tblLook w:val="04A0" w:firstRow="1" w:lastRow="0" w:firstColumn="1" w:lastColumn="0" w:noHBand="0" w:noVBand="1"/>
                  </w:tblPr>
                  <w:tblGrid>
                    <w:gridCol w:w="9026"/>
                  </w:tblGrid>
                  <w:tr w:rsidR="001C2D93" w:rsidRPr="001C2D93" w14:paraId="01A5DD43" w14:textId="77777777">
                    <w:trPr>
                      <w:tblCellSpacing w:w="37" w:type="dxa"/>
                    </w:trPr>
                    <w:tc>
                      <w:tcPr>
                        <w:tcW w:w="5000" w:type="pct"/>
                        <w:vAlign w:val="center"/>
                        <w:hideMark/>
                      </w:tcPr>
                      <w:p w14:paraId="0EE65E9A" w14:textId="77777777" w:rsidR="001C2D93" w:rsidRPr="001C2D93" w:rsidRDefault="001C2D93" w:rsidP="001C2D93">
                        <w:pPr>
                          <w:spacing w:before="100" w:beforeAutospacing="1" w:after="100" w:afterAutospacing="1"/>
                          <w:outlineLvl w:val="0"/>
                          <w:rPr>
                            <w:rFonts w:eastAsia="Times New Roman"/>
                            <w:b/>
                            <w:bCs/>
                            <w:kern w:val="36"/>
                            <w:sz w:val="48"/>
                            <w:szCs w:val="48"/>
                          </w:rPr>
                        </w:pPr>
                        <w:r w:rsidRPr="001C2D93">
                          <w:rPr>
                            <w:rFonts w:eastAsia="Times New Roman"/>
                            <w:b/>
                            <w:bCs/>
                            <w:kern w:val="36"/>
                            <w:sz w:val="48"/>
                            <w:szCs w:val="48"/>
                          </w:rPr>
                          <w:t>The Association Between Standards-Based Grading and Standardized Test Scores in a High School Reform Model</w:t>
                        </w:r>
                      </w:p>
                      <w:p w14:paraId="36C802A0" w14:textId="77777777" w:rsidR="001C2D93" w:rsidRPr="001C2D93" w:rsidRDefault="001C2D93" w:rsidP="001C2D93">
                        <w:pPr>
                          <w:rPr>
                            <w:rFonts w:eastAsia="Times New Roman"/>
                          </w:rPr>
                        </w:pPr>
                        <w:r w:rsidRPr="001C2D93">
                          <w:rPr>
                            <w:rFonts w:eastAsia="Times New Roman"/>
                          </w:rPr>
                          <w:t>by Marty Pollio &amp; Craig Hochbein</w:t>
                        </w:r>
                      </w:p>
                      <w:p w14:paraId="3219954F" w14:textId="77777777" w:rsidR="001C2D93" w:rsidRPr="001C2D93" w:rsidRDefault="001C2D93" w:rsidP="001C2D93">
                        <w:pPr>
                          <w:spacing w:before="100" w:beforeAutospacing="1" w:after="100" w:afterAutospacing="1"/>
                          <w:rPr>
                            <w:rFonts w:eastAsia="Times New Roman"/>
                          </w:rPr>
                        </w:pPr>
                        <w:r w:rsidRPr="001C2D93">
                          <w:rPr>
                            <w:rFonts w:eastAsia="Times New Roman"/>
                            <w:b/>
                            <w:bCs/>
                            <w:i/>
                            <w:iCs/>
                          </w:rPr>
                          <w:t>Background/Context:</w:t>
                        </w:r>
                        <w:r w:rsidRPr="001C2D93">
                          <w:rPr>
                            <w:rFonts w:eastAsia="Times New Roman"/>
                            <w:i/>
                            <w:iCs/>
                          </w:rPr>
                          <w:t xml:space="preserve"> From two decades of research on the grading practices of teachers in secondary schools, researchers discovered that teachers evaluated students on numerous factors that do not validly assess a student’s achievement level in a specific content area. These consistent findings suggested that traditional grading practices evolved to meet the variety of educational stakeholder expectations for schools, teachers, and students.</w:t>
                        </w:r>
                      </w:p>
                      <w:p w14:paraId="1A81C1BB" w14:textId="77777777" w:rsidR="001C2D93" w:rsidRPr="001C2D93" w:rsidRDefault="001C2D93" w:rsidP="001C2D93">
                        <w:pPr>
                          <w:spacing w:before="100" w:beforeAutospacing="1" w:after="100" w:afterAutospacing="1"/>
                          <w:rPr>
                            <w:rFonts w:eastAsia="Times New Roman"/>
                            <w:i/>
                            <w:iCs/>
                          </w:rPr>
                        </w:pPr>
                        <w:r w:rsidRPr="001C2D93">
                          <w:rPr>
                            <w:rFonts w:eastAsia="Times New Roman"/>
                            <w:b/>
                            <w:bCs/>
                            <w:i/>
                            <w:iCs/>
                          </w:rPr>
                          <w:t>Purpose/Objective:</w:t>
                        </w:r>
                        <w:r w:rsidRPr="001C2D93">
                          <w:rPr>
                            <w:rFonts w:eastAsia="Times New Roman"/>
                            <w:i/>
                            <w:iCs/>
                          </w:rPr>
                          <w:t xml:space="preserve"> The purpose of this study was to examine the role of standards-based grading in a high school reform by assessing the relationships between differing grading approaches and standardized test achievement.</w:t>
                        </w:r>
                      </w:p>
                      <w:p w14:paraId="7EF1E817" w14:textId="77777777" w:rsidR="001C2D93" w:rsidRPr="001C2D93" w:rsidRDefault="001C2D93" w:rsidP="001C2D93">
                        <w:pPr>
                          <w:spacing w:before="100" w:beforeAutospacing="1" w:after="100" w:afterAutospacing="1"/>
                          <w:rPr>
                            <w:rFonts w:eastAsia="Times New Roman"/>
                            <w:i/>
                            <w:iCs/>
                          </w:rPr>
                        </w:pPr>
                        <w:r w:rsidRPr="001C2D93">
                          <w:rPr>
                            <w:rFonts w:eastAsia="Times New Roman"/>
                            <w:b/>
                            <w:bCs/>
                            <w:i/>
                            <w:iCs/>
                          </w:rPr>
                          <w:t>Setting:</w:t>
                        </w:r>
                        <w:r w:rsidRPr="001C2D93">
                          <w:rPr>
                            <w:rFonts w:eastAsia="Times New Roman"/>
                            <w:i/>
                            <w:iCs/>
                          </w:rPr>
                          <w:t xml:space="preserve"> The study examined student performance from 11 high schools operating in a large metropolitan school district.</w:t>
                        </w:r>
                      </w:p>
                      <w:p w14:paraId="2161AD4C" w14:textId="77777777" w:rsidR="001C2D93" w:rsidRPr="001C2D93" w:rsidRDefault="001C2D93" w:rsidP="001C2D93">
                        <w:pPr>
                          <w:spacing w:before="100" w:beforeAutospacing="1" w:after="100" w:afterAutospacing="1"/>
                          <w:rPr>
                            <w:rFonts w:eastAsia="Times New Roman"/>
                            <w:i/>
                            <w:iCs/>
                          </w:rPr>
                        </w:pPr>
                        <w:r w:rsidRPr="001C2D93">
                          <w:rPr>
                            <w:rFonts w:eastAsia="Times New Roman"/>
                            <w:b/>
                            <w:bCs/>
                            <w:i/>
                            <w:iCs/>
                          </w:rPr>
                          <w:t>Population/Participants:</w:t>
                        </w:r>
                        <w:r w:rsidRPr="001C2D93">
                          <w:rPr>
                            <w:rFonts w:eastAsia="Times New Roman"/>
                            <w:i/>
                            <w:iCs/>
                          </w:rPr>
                          <w:t xml:space="preserve"> The sample of students included two cohorts of 1,163 and 1,256 11th grade students who completed an Algebra 2 course and the state standardized test. </w:t>
                        </w:r>
                      </w:p>
                      <w:p w14:paraId="3B4208AA" w14:textId="77777777" w:rsidR="001C2D93" w:rsidRPr="001C2D93" w:rsidRDefault="001C2D93" w:rsidP="001C2D93">
                        <w:pPr>
                          <w:spacing w:before="100" w:beforeAutospacing="1" w:after="100" w:afterAutospacing="1"/>
                          <w:rPr>
                            <w:rFonts w:eastAsia="Times New Roman"/>
                            <w:i/>
                            <w:iCs/>
                          </w:rPr>
                        </w:pPr>
                        <w:r w:rsidRPr="001C2D93">
                          <w:rPr>
                            <w:rFonts w:eastAsia="Times New Roman"/>
                            <w:b/>
                            <w:bCs/>
                            <w:i/>
                            <w:iCs/>
                          </w:rPr>
                          <w:t>Intervention/Program:</w:t>
                        </w:r>
                        <w:r w:rsidRPr="001C2D93">
                          <w:rPr>
                            <w:rFonts w:eastAsia="Times New Roman"/>
                            <w:i/>
                            <w:iCs/>
                          </w:rPr>
                          <w:t xml:space="preserve"> Each of the high schools implemented a locally designed reform known as Project Proficiency. A key component of the reform included utilizing standards-based grading to assess student proficiency of the content.</w:t>
                        </w:r>
                      </w:p>
                      <w:p w14:paraId="6F53233E" w14:textId="77777777" w:rsidR="001C2D93" w:rsidRPr="001C2D93" w:rsidRDefault="001C2D93" w:rsidP="001C2D93">
                        <w:pPr>
                          <w:spacing w:before="100" w:beforeAutospacing="1" w:after="100" w:afterAutospacing="1"/>
                          <w:rPr>
                            <w:rFonts w:eastAsia="Times New Roman"/>
                            <w:i/>
                            <w:iCs/>
                          </w:rPr>
                        </w:pPr>
                        <w:r w:rsidRPr="001C2D93">
                          <w:rPr>
                            <w:rFonts w:eastAsia="Times New Roman"/>
                            <w:b/>
                            <w:bCs/>
                            <w:i/>
                            <w:iCs/>
                          </w:rPr>
                          <w:t>Research Design:</w:t>
                        </w:r>
                        <w:r w:rsidRPr="001C2D93">
                          <w:rPr>
                            <w:rFonts w:eastAsia="Times New Roman"/>
                            <w:i/>
                            <w:iCs/>
                          </w:rPr>
                          <w:t xml:space="preserve"> This study utilized a non-equivalent control group design and quantitative analyses to compare the association between classroom grades and standardized test scores.</w:t>
                        </w:r>
                      </w:p>
                      <w:p w14:paraId="637BF848" w14:textId="77777777" w:rsidR="001C2D93" w:rsidRPr="001C2D93" w:rsidRDefault="001C2D93" w:rsidP="001C2D93">
                        <w:pPr>
                          <w:spacing w:before="100" w:beforeAutospacing="1" w:after="100" w:afterAutospacing="1"/>
                          <w:rPr>
                            <w:rFonts w:eastAsia="Times New Roman"/>
                            <w:i/>
                            <w:iCs/>
                          </w:rPr>
                        </w:pPr>
                        <w:r w:rsidRPr="001C2D93">
                          <w:rPr>
                            <w:rFonts w:eastAsia="Times New Roman"/>
                            <w:b/>
                            <w:bCs/>
                            <w:i/>
                            <w:iCs/>
                          </w:rPr>
                          <w:t>Data Collection and Analysis:</w:t>
                        </w:r>
                        <w:r w:rsidRPr="001C2D93">
                          <w:rPr>
                            <w:rFonts w:eastAsia="Times New Roman"/>
                            <w:i/>
                            <w:iCs/>
                          </w:rPr>
                          <w:t xml:space="preserve"> The data for the study included the students’ final grades, standardized test scores, and basic demographic information.</w:t>
                        </w:r>
                      </w:p>
                      <w:p w14:paraId="25F0DE9D" w14:textId="77777777" w:rsidR="001C2D93" w:rsidRPr="001C2D93" w:rsidRDefault="001C2D93" w:rsidP="001C2D93">
                        <w:pPr>
                          <w:spacing w:before="100" w:beforeAutospacing="1" w:after="100" w:afterAutospacing="1"/>
                          <w:rPr>
                            <w:rFonts w:eastAsia="Times New Roman"/>
                            <w:i/>
                            <w:iCs/>
                          </w:rPr>
                        </w:pPr>
                        <w:r w:rsidRPr="001C2D93">
                          <w:rPr>
                            <w:rFonts w:eastAsia="Times New Roman"/>
                            <w:b/>
                            <w:bCs/>
                            <w:i/>
                            <w:iCs/>
                          </w:rPr>
                          <w:t>Findings/Results:</w:t>
                        </w:r>
                        <w:r w:rsidRPr="001C2D93">
                          <w:rPr>
                            <w:rFonts w:eastAsia="Times New Roman"/>
                            <w:i/>
                            <w:iCs/>
                          </w:rPr>
                          <w:t xml:space="preserve"> Results indicated that the rate of students earning an A or B in a course and passing the state test approximately doubled when utilizing standards-based grading </w:t>
                        </w:r>
                        <w:r w:rsidRPr="001C2D93">
                          <w:rPr>
                            <w:rFonts w:eastAsia="Times New Roman"/>
                            <w:i/>
                            <w:iCs/>
                          </w:rPr>
                          <w:lastRenderedPageBreak/>
                          <w:t>practices. In addition, results indicated that standards-based grading practices identified more predictive and valid assessment of at-risk students’ attainment of subject knowledge.</w:t>
                        </w:r>
                      </w:p>
                      <w:p w14:paraId="2498FB90" w14:textId="77777777" w:rsidR="001C2D93" w:rsidRPr="001C2D93" w:rsidRDefault="001C2D93" w:rsidP="001C2D93">
                        <w:pPr>
                          <w:spacing w:before="100" w:beforeAutospacing="1" w:after="100" w:afterAutospacing="1"/>
                          <w:rPr>
                            <w:rFonts w:eastAsia="Times New Roman"/>
                            <w:i/>
                            <w:iCs/>
                          </w:rPr>
                        </w:pPr>
                        <w:r w:rsidRPr="001C2D93">
                          <w:rPr>
                            <w:rFonts w:eastAsia="Times New Roman"/>
                            <w:b/>
                            <w:bCs/>
                            <w:i/>
                            <w:iCs/>
                          </w:rPr>
                          <w:t>Conclusions/Recommendations:</w:t>
                        </w:r>
                        <w:r w:rsidRPr="001C2D93">
                          <w:rPr>
                            <w:rFonts w:eastAsia="Times New Roman"/>
                            <w:i/>
                            <w:iCs/>
                          </w:rPr>
                          <w:t xml:space="preserve"> The article demonstrates the benefits of using standards-based grading in reforms attempting to improve the academic performance of secondary schools, but also notes how restriction of grades to mastery of standards will challenge educators’ perception of their abilities and students’ efforts. The article also notes the methodological limitations of prior grading research and suggests the need for more robust studies assessing grading practices, student achievement, and school performance.</w:t>
                        </w:r>
                      </w:p>
                      <w:p w14:paraId="1BF78494" w14:textId="77777777" w:rsidR="001C2D93" w:rsidRPr="001C2D93" w:rsidRDefault="001C2D93" w:rsidP="001C2D93">
                        <w:pPr>
                          <w:spacing w:before="100" w:beforeAutospacing="1" w:after="100" w:afterAutospacing="1"/>
                          <w:rPr>
                            <w:rFonts w:eastAsia="Times New Roman"/>
                          </w:rPr>
                        </w:pPr>
                        <w:r w:rsidRPr="001C2D93">
                          <w:rPr>
                            <w:rFonts w:eastAsia="Times New Roman"/>
                            <w:b/>
                            <w:bCs/>
                          </w:rPr>
                          <w:t xml:space="preserve">Cite This Article as: </w:t>
                        </w:r>
                        <w:r w:rsidRPr="001C2D93">
                          <w:rPr>
                            <w:rFonts w:eastAsia="Times New Roman"/>
                            <w:i/>
                            <w:iCs/>
                          </w:rPr>
                          <w:t>Teachers College Record</w:t>
                        </w:r>
                        <w:r w:rsidRPr="001C2D93">
                          <w:rPr>
                            <w:rFonts w:eastAsia="Times New Roman"/>
                          </w:rPr>
                          <w:t xml:space="preserve"> Volume 117 Number 11, 2015, p. 1-28</w:t>
                        </w:r>
                        <w:r w:rsidRPr="001C2D93">
                          <w:rPr>
                            <w:rFonts w:eastAsia="Times New Roman"/>
                          </w:rPr>
                          <w:br/>
                        </w:r>
                        <w:hyperlink r:id="rId20" w:history="1">
                          <w:r w:rsidRPr="001C2D93">
                            <w:rPr>
                              <w:rFonts w:eastAsia="Times New Roman"/>
                              <w:color w:val="0000FF"/>
                              <w:u w:val="single"/>
                            </w:rPr>
                            <w:t>http://www.tcrecord.org/library</w:t>
                          </w:r>
                        </w:hyperlink>
                        <w:r w:rsidRPr="001C2D93">
                          <w:rPr>
                            <w:rFonts w:eastAsia="Times New Roman"/>
                          </w:rPr>
                          <w:t xml:space="preserve"> ID Number: 18111, Date Accessed: 4/25/2016 9:07:05 AM</w:t>
                        </w:r>
                      </w:p>
                    </w:tc>
                  </w:tr>
                </w:tbl>
                <w:p w14:paraId="53260F5B" w14:textId="77777777" w:rsidR="001C2D93" w:rsidRPr="001C2D93" w:rsidRDefault="001C2D93" w:rsidP="001C2D93">
                  <w:pPr>
                    <w:rPr>
                      <w:rFonts w:eastAsia="Times New Roman"/>
                    </w:rPr>
                  </w:pPr>
                </w:p>
              </w:tc>
            </w:tr>
          </w:tbl>
          <w:p w14:paraId="780266F8" w14:textId="77777777" w:rsidR="001C2D93" w:rsidRPr="001C2D93" w:rsidRDefault="001C2D93" w:rsidP="001C2D93">
            <w:pPr>
              <w:rPr>
                <w:rFonts w:eastAsia="Times New Roman"/>
              </w:rPr>
            </w:pPr>
          </w:p>
        </w:tc>
      </w:tr>
    </w:tbl>
    <w:p w14:paraId="057327BE" w14:textId="77777777" w:rsidR="005E271F" w:rsidRDefault="009D29A9"/>
    <w:sectPr w:rsidR="005E2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D93"/>
    <w:rsid w:val="001C2D93"/>
    <w:rsid w:val="0043644E"/>
    <w:rsid w:val="006A3A24"/>
    <w:rsid w:val="00976B3E"/>
    <w:rsid w:val="009D29A9"/>
    <w:rsid w:val="00C44346"/>
    <w:rsid w:val="00EB6607"/>
    <w:rsid w:val="00F6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66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D93"/>
    <w:rPr>
      <w:rFonts w:ascii="Tahoma" w:hAnsi="Tahoma" w:cs="Tahoma"/>
      <w:sz w:val="16"/>
      <w:szCs w:val="16"/>
    </w:rPr>
  </w:style>
  <w:style w:type="character" w:customStyle="1" w:styleId="BalloonTextChar">
    <w:name w:val="Balloon Text Char"/>
    <w:basedOn w:val="DefaultParagraphFont"/>
    <w:link w:val="BalloonText"/>
    <w:uiPriority w:val="99"/>
    <w:semiHidden/>
    <w:rsid w:val="001C2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81016">
      <w:bodyDiv w:val="1"/>
      <w:marLeft w:val="0"/>
      <w:marRight w:val="0"/>
      <w:marTop w:val="0"/>
      <w:marBottom w:val="0"/>
      <w:divBdr>
        <w:top w:val="none" w:sz="0" w:space="0" w:color="auto"/>
        <w:left w:val="none" w:sz="0" w:space="0" w:color="auto"/>
        <w:bottom w:val="none" w:sz="0" w:space="0" w:color="auto"/>
        <w:right w:val="none" w:sz="0" w:space="0" w:color="auto"/>
      </w:divBdr>
      <w:divsChild>
        <w:div w:id="1808668483">
          <w:marLeft w:val="0"/>
          <w:marRight w:val="0"/>
          <w:marTop w:val="0"/>
          <w:marBottom w:val="0"/>
          <w:divBdr>
            <w:top w:val="none" w:sz="0" w:space="0" w:color="auto"/>
            <w:left w:val="none" w:sz="0" w:space="0" w:color="auto"/>
            <w:bottom w:val="none" w:sz="0" w:space="0" w:color="auto"/>
            <w:right w:val="none" w:sz="0" w:space="0" w:color="auto"/>
          </w:divBdr>
        </w:div>
        <w:div w:id="177126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18" Type="http://schemas.openxmlformats.org/officeDocument/2006/relationships/image" Target="media/image9.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image" Target="media/image8.gif"/><Relationship Id="rId2" Type="http://schemas.openxmlformats.org/officeDocument/2006/relationships/settings" Target="settings.xml"/><Relationship Id="rId16" Type="http://schemas.openxmlformats.org/officeDocument/2006/relationships/hyperlink" Target="https://www.tcrecord.org/library/search.asp" TargetMode="External"/><Relationship Id="rId20" Type="http://schemas.openxmlformats.org/officeDocument/2006/relationships/hyperlink" Target="http://www.tcrecord.org/library" TargetMode="External"/><Relationship Id="rId1" Type="http://schemas.openxmlformats.org/officeDocument/2006/relationships/styles" Target="styles.xml"/><Relationship Id="rId6" Type="http://schemas.openxmlformats.org/officeDocument/2006/relationships/hyperlink" Target="https://www.tcrecord.org/library" TargetMode="External"/><Relationship Id="rId11" Type="http://schemas.openxmlformats.org/officeDocument/2006/relationships/hyperlink" Target="https://www.tcrecord.org/books" TargetMode="External"/><Relationship Id="rId5" Type="http://schemas.openxmlformats.org/officeDocument/2006/relationships/hyperlink" Target="https://www.tcrecord.org/library/Subscriptions.asp" TargetMode="External"/><Relationship Id="rId15" Type="http://schemas.openxmlformats.org/officeDocument/2006/relationships/image" Target="media/image7.gif"/><Relationship Id="rId10" Type="http://schemas.openxmlformats.org/officeDocument/2006/relationships/image" Target="media/image4.gif"/><Relationship Id="rId19" Type="http://schemas.openxmlformats.org/officeDocument/2006/relationships/image" Target="media/image10.wmf"/><Relationship Id="rId4" Type="http://schemas.openxmlformats.org/officeDocument/2006/relationships/image" Target="media/image1.jpeg"/><Relationship Id="rId9" Type="http://schemas.openxmlformats.org/officeDocument/2006/relationships/hyperlink" Target="https://www.tcrecord.org/library/Issue.asp" TargetMode="External"/><Relationship Id="rId14" Type="http://schemas.openxmlformats.org/officeDocument/2006/relationships/hyperlink" Target="https://www.tcrecord.org/library/About.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Guskey</dc:creator>
  <cp:lastModifiedBy>Thomas Guskey</cp:lastModifiedBy>
  <cp:revision>2</cp:revision>
  <dcterms:created xsi:type="dcterms:W3CDTF">2022-01-02T17:29:00Z</dcterms:created>
  <dcterms:modified xsi:type="dcterms:W3CDTF">2022-01-02T17:29:00Z</dcterms:modified>
</cp:coreProperties>
</file>